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951"/>
        <w:tblW w:w="0" w:type="auto"/>
        <w:shd w:val="clear" w:color="auto" w:fill="948A54" w:themeFill="background2" w:themeFillShade="80"/>
        <w:tblLook w:val="04A0"/>
      </w:tblPr>
      <w:tblGrid>
        <w:gridCol w:w="4621"/>
        <w:gridCol w:w="4621"/>
      </w:tblGrid>
      <w:tr w:rsidR="00662803" w:rsidRPr="003104AD" w:rsidTr="00662803">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Avidya</w:t>
            </w:r>
          </w:p>
        </w:tc>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Ignorance or delusion</w:t>
            </w:r>
          </w:p>
          <w:p w:rsidR="00662803" w:rsidRPr="003104AD" w:rsidRDefault="00662803" w:rsidP="00662803">
            <w:pPr>
              <w:rPr>
                <w:rFonts w:ascii="Arial" w:hAnsi="Arial" w:cs="Arial"/>
              </w:rPr>
            </w:pPr>
          </w:p>
        </w:tc>
      </w:tr>
      <w:tr w:rsidR="00662803" w:rsidRPr="003104AD" w:rsidTr="00662803">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Bhavacakra</w:t>
            </w:r>
          </w:p>
          <w:p w:rsidR="00662803" w:rsidRPr="003104AD" w:rsidRDefault="00662803" w:rsidP="00662803">
            <w:pPr>
              <w:rPr>
                <w:rFonts w:ascii="Arial" w:hAnsi="Arial" w:cs="Arial"/>
              </w:rPr>
            </w:pPr>
          </w:p>
        </w:tc>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The Wheel of Life</w:t>
            </w:r>
          </w:p>
        </w:tc>
      </w:tr>
      <w:tr w:rsidR="00662803" w:rsidRPr="003104AD" w:rsidTr="00662803">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Dhammapada</w:t>
            </w:r>
          </w:p>
          <w:p w:rsidR="00662803" w:rsidRPr="003104AD" w:rsidRDefault="00662803" w:rsidP="00662803">
            <w:pPr>
              <w:rPr>
                <w:rFonts w:ascii="Arial" w:hAnsi="Arial" w:cs="Arial"/>
              </w:rPr>
            </w:pPr>
          </w:p>
        </w:tc>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A popular portion of the Pali Canon</w:t>
            </w:r>
          </w:p>
        </w:tc>
      </w:tr>
      <w:tr w:rsidR="00662803" w:rsidRPr="003104AD" w:rsidTr="00662803">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Nirvana</w:t>
            </w:r>
          </w:p>
        </w:tc>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‘Bowing out’, the goal and highest attainment for Buddhists. This term is often defined negatively to avoid the problem of attempting to define something that cannot be defined. It is often described as the cessation or ‘blowing out’ of greet, hatred, ignorance, attachment and egoism. It is sometimes seen as the opposite of samsara and dukkha. It is often spoken of as synonymous with enlightenment. Different traditions of Buddhism define it in different ways.</w:t>
            </w:r>
          </w:p>
        </w:tc>
      </w:tr>
      <w:tr w:rsidR="00662803" w:rsidRPr="003104AD" w:rsidTr="00662803">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The three fires/poisons</w:t>
            </w:r>
          </w:p>
        </w:tc>
        <w:tc>
          <w:tcPr>
            <w:tcW w:w="4621" w:type="dxa"/>
            <w:shd w:val="clear" w:color="auto" w:fill="948A54" w:themeFill="background2" w:themeFillShade="80"/>
          </w:tcPr>
          <w:p w:rsidR="00662803" w:rsidRPr="003104AD" w:rsidRDefault="00662803" w:rsidP="00662803">
            <w:pPr>
              <w:rPr>
                <w:rFonts w:ascii="Arial" w:hAnsi="Arial" w:cs="Arial"/>
              </w:rPr>
            </w:pPr>
            <w:r w:rsidRPr="003104AD">
              <w:rPr>
                <w:rFonts w:ascii="Arial" w:hAnsi="Arial" w:cs="Arial"/>
              </w:rPr>
              <w:t>Greed, hatred and ignorance – the three qualities that keep the unenlightened locked in the endless round of samsara</w:t>
            </w:r>
          </w:p>
        </w:tc>
      </w:tr>
    </w:tbl>
    <w:p w:rsidR="000160AF" w:rsidRPr="003104AD" w:rsidRDefault="0055226E">
      <w:pP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pt;margin-top:-20.9pt;width:459.85pt;height:50.95pt;z-index:251660288;mso-position-horizontal-relative:text;mso-position-vertical-relative:text" fillcolor="#938953 [1614]">
            <v:shadow color="#868686"/>
            <v:textpath style="font-family:&quot;Arial Black&quot;;v-text-kern:t" trim="t" fitpath="t" string="Chapter six"/>
            <w10:wrap type="square"/>
          </v:shape>
        </w:pict>
      </w:r>
    </w:p>
    <w:sectPr w:rsidR="000160AF" w:rsidRPr="003104AD" w:rsidSect="000160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2803"/>
    <w:rsid w:val="000160AF"/>
    <w:rsid w:val="002A495E"/>
    <w:rsid w:val="003104AD"/>
    <w:rsid w:val="0055226E"/>
    <w:rsid w:val="00662803"/>
    <w:rsid w:val="00C355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teasdalee</cp:lastModifiedBy>
  <cp:revision>2</cp:revision>
  <dcterms:created xsi:type="dcterms:W3CDTF">2011-03-17T09:14:00Z</dcterms:created>
  <dcterms:modified xsi:type="dcterms:W3CDTF">2011-03-17T09:14:00Z</dcterms:modified>
</cp:coreProperties>
</file>